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20 112 vom 27. November 2020</w:t>
      </w:r>
    </w:p>
    <w:p>
      <w:r>
        <w:t>VS Kantonsgericht, 2020-11-27, FR</w:t>
      </w:r>
    </w:p>
    <w:p>
      <w:r>
        <w:rPr>
          <w:b/>
        </w:rPr>
        <w:t xml:space="preserve">Quelle: </w:t>
      </w:r>
      <w:r>
        <w:t>https://mcp.opencaselaw.ch/entscheid/vs_gerichte_A1 20 112</w:t>
      </w:r>
    </w:p>
    <w:p>
      <w:r>
        <w:t>FR: VS_GERICHTE A1 20 112 du 27 novembre 2020</w:t>
      </w:r>
    </w:p>
    <w:p>
      <w:r>
        <w:t>IT: VS_GERICHTE A1 20 112 del 27 novembre 2020</w:t>
      </w:r>
    </w:p>
    <w:p>
      <w:pPr>
        <w:pStyle w:val="Heading2"/>
      </w:pPr>
      <w:r>
        <w:t>Regeste</w:t>
      </w:r>
    </w:p>
    <w:p>
      <w:r>
        <w:t>A1 20 112 ARRÊT DU 27 NOVEMBRE 2020 Tribunal cantonal du Valais Cour de droit public Composition : Christophe Joris, président ; Thomas Brunner, juge ; Frédéric Fellay, juge suppléant ; en la cause QQ _________ et RR _________, SS _________ et TT _________, UU _________ et VV _________, WW _________ et XX _________, YY _________, ZZ _________ et A_________, B_________ et C_________, D _________ et E_________, F_________, G_________, H_________, I_________, J_________, K_________, L _________ et M_________, N_________ et O_________, P_________, Q_________, R_________ et S_________, T_________, U _________ et V_________, W_</w:t>
      </w:r>
    </w:p>
    <w:p>
      <w:pPr>
        <w:pStyle w:val="Heading2"/>
      </w:pPr>
      <w:r>
        <w:t>Erwägungen</w:t>
      </w:r>
    </w:p>
    <w:p>
      <w:r>
        <w:rPr>
          <w:b/>
        </w:rPr>
        <w:t>E. 28</w:t>
      </w:r>
    </w:p>
    <w:p>
      <w:r>
        <w:t>septembre 2018. Ils disposent ainsi de la qualité pour recourir (art. 80 al. 1 let. a et 44 al. 1 let. a LPJA). Cela étant, du moment que le Tribunal doit entrer en matière sur le recours, il est superflu de vérifier si chacun des autres recourants est habilité à agir. 2.1 A titre de moyens de preuve, les recourants sollicitent l’édition des dossiers des autorités précédentes et une inspection des lieux. Ils réclament également le dépôt des rapports de fonctionnement de l’antenne provisoire en déclarant réserver, si nécessaire, l’administration d’une expertise sur l’aptitude de la variante 13A à remplir les objectifs de couverture poursuivis par le réseau Polycom. 2.2 Selon la jurisprudence,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 RVJ 2009 p. 49 consid. 3b).</w:t>
      </w:r>
    </w:p>
    <w:p>
      <w:r>
        <w:t>- 8 -</w:t>
      </w:r>
    </w:p>
    <w:p>
      <w:r>
        <w:t>2.3 Le Conseil d’Etat a déposé son dossier ainsi que ceux de la commune de AA _________ englobant les différentes procédures menées depuis 2011. La requête correspondante des recourants est ainsi satisfaite. Le Tribunal renonce en revanche à procéder à une inspection des lieux. Les photographies et plans figurant au dossier (cf. en particulier dossier du TC p. 4, 5, 126 et 127 ; dossier du CE, p. 979, 884, 791, 750 ; dossier communal, p. 526, 425, 389) rendent valablement compte de la configuration des lieux. Ainsi que l’a relevé le Conseil d’Etat, celle-ci peut être également appréhendée au moyen de l’application Google StreetView, qui est directement accessible depuis le cadastre et système d’information du territoire (SIT) en ligne de la commune de AA _________. Ces différents éléments permettent de se faire une idée suffisante de l’impact visuel que pourrait induire l’antenne litigieuse, dont un gabarit avait été posé en son temps (cf. photographies en p. 4 du dossier du TC ; la même, plus nette, en p. 945 du dossier du CE) et dont les caractéristiques ressortent clairement des documents de mise à l’enquête (dossier de la commune de AA _________, p. 512 à 569). Enfin, il ne se justifie pas d’ordonner l’édition d’un rapport sur le fonctionnement de l’antenne provisoire attendu que le litige porte sur la variante 1, qui, comme on va le voir (infra consid. 3.8), entre seule en considération au vu des pièces, convaincantes, figurant déjà au dossier. Ces offres de preuves seront rejetées par appréciation anticipée de leur utilité, au même titre que l’expertise encore évoquée dans ce contexte par les recourants. 3.1 Sur le fond et en premier lieu, les recourants reprochent au Conseil d’Etat d’avoir considéré que l’antenne projetée ne portait « en aucun cas atteinte à l’esthétique de son lieu d’implantation et du paysage environnant » et que la variante 1 était la seule à pouvoir répondre aux objectifs poursuivis par le réseau Polycom. Selon eux, le refus communal fondé sur la clause d’esthétique était justifié, de sorte qu’en censurant cette décision, l’autorité précédente aurait commis un abus du pouvoir d’appréciation et violé l’autonomie communale. Les recourants soutiennent en particulier que les clauses cantonales et communales d’esthétique commandent de procéder à une pondération des intérêts que la municipalité de AA _________ avait, en l’occurrence, valablement effectuée. 3.2 Personne ne conteste, à juste titre, que l’antenne litigieuse puisse être soumise aux dispositions cantonales ou communales d'esthétique ou d'intégration (cf. p. ex. arrêt du Tribunal fédéral 1C_643/2018 du 30 septembre 2019 consid. 4.1.3 et les références). La clause générale d'esthétique de l'article 25 de la loi sur les constructions du 15 décembre 2016 (LC ; RS/VS 700.1) prévoit que les constructions et installations doivent respecter l'environnement naturel et bâti dans lequel elles s'inscrivent notamment</w:t>
      </w:r>
    </w:p>
    <w:p>
      <w:r>
        <w:t>- 9 -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Au plan communal, l’article 43 RCCZ exige des constructions qu’elles présentent un aspect architectural satisfaisant et respectent le site. Cette norme habilite le Conseil communal à s'opposer à toute construction ou démolition de nature à compromettre l'aspect ou le caractère d'un site, d'une localité, d'un quartier, d'une rue ou nuisant à l'aspect d'un édifice de valeur historique, artistique ou pittoresque, même si elle ne se heurte à aucune disposition réglementaire particulière. Il est précisé que, dans ce cadre, il peut être fait appel à des experts. 3.3 L’autorité précédente a correctement rappelé les principes dégagés par la jurispru- dence en application de telles clauses, à savoir que l’esthétique d’une construction doit s'apprécier d'après son intégration dans le site considéré et que, si l’autorité locale dispose d’un large pouvoir d’appréciation, elle n’en doit pas moins procéder à une soigneuse pesée des intérêts en présence en respectant le principe de la proportionnalité (cf. ATF 142 I 162 consid. 3.2.2 ; RVJ 2015 p. 29 consid. 3.2 et 3.3, 2014 p. 3 consid. 3.2). Au nombre des éléments à prendre en considération figure également, même s’il n’est pas d’un poids décisif, le type de zone concerné : en effet, les exigences en matière d’esthétique ne peuvent, par exemple, pas être appliquées de la même manière dans une zone d’habitation ou dans une zone commerciale (Christoph Fritzsche/Peter Bösch/Thomas Wipf, Zürcher Planungs- und Baurecht, vol. I, 6e éd., 2019, p. 820). 3.4 Se référant à la jurisprudence applicable aux installations de téléphonie mobile, le Conseil d’Etat a souligné que les normes d’esthétique doivent être appliquées dans les limites du droit supérieur, en particulier du droit fédéral de l'environnement, d'une part, et des télécommunications, d'autre part. Il a relevé que ces dispositions ne peuvent pas violer les intérêts publics que consacre la législation sur les télécommunications et doivent tenir compte de l'intérêt à disposer d'un réseau de téléphonie mobile de bonne qualité et d'une concurrence efficace entre les fournisseurs de téléphonie mobile. Ainsi, dans l'application d'une clause générale d'esthétique, l'autorité ne doit pas se laisser guider par son sentiment subjectif ; il lui appartient de motiver soigneusement son appréciation (arrêt du Tribunal fédéral 1C_231/2016 du 21 novembre 2016 consid. 4.1.3 et la référence). L'application des normes d'esthétique ou de protection des sites ne peut rendre impossible ou compliquer à l'excès la réalisation de l'obligation de couverture qui incombe à l'opérateur en vertu du droit fédéral. Les recourants l’admettent expressément</w:t>
      </w:r>
    </w:p>
    <w:p>
      <w:r>
        <w:t>- 10 - (mémoire p. 22) en reprenant des références citées dans la décision attaquée (ATF 141 II 245 consid. 7.1 et 7.8, 138 II 173 consid. 6.3, arrêt 1C_49/2015 du 9 décembre 2015 consid. 4). A cet égard, l’on ajoutera que l’apparence d’une antenne dépend très largement de contingences techniques. Son aspect pourra ainsi presque toujours être qualifié d’étranger au bâti existant. Cette circonstance ne saurait toutefois constituer un motif de refus d’autorisation, à peine de rendre la construction d'antennes excessivement difficile (arrêt du Tribunal fédéral 1C_5/2016 du 18 mai 2016 consid. 5.5 ; Christoph Fritzsche/Peter Bösch/Thomas Wipf, op. cit., p. 847). Les recourants concèdent également qu’une commune ne peut se contenter d’opposer son veto en raison du défaut d’intégration de l’installation, mais qu’il lui appartient de collaborer à la recherche de solutions alternatives praticables en zone constructible (arrêt 1C_643/2018 précité consid. 4.3 et la référence). Sur ce point, il importe de souligner que l’examen d'emplacements alternatifs ne s'impose que pour autant que l'implantation en zone à bâtir se heurte à un empêchement juridique, tel qu'une clause d'esthétique ou de protection du patrimoine (arrêt du Tribunal fédéral 1C_231/2016 précité consid. 4.4.2 et les références).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3.5 En l’espèce, le projet litigieux consiste à implanter un mât de support pour deux antennes et deux faisceaux hertziens destinés au réseau radio de sécurité national Polycom et la transformation d’un local existant pour l’installation d’équipements tech- niques. Les recourants ne contestent pas l’applicabilité des règles exposées précédem- ment à cette installation, pas plus qu’ils ne remettent en cause l’intérêt public que revêt ce réseau, valablement décrit par le Conseil d’Etat au chapitre A de sa décision, auquel il peut être entièrement renvoyé. L’autorité précédente a, dans ce contexte, relevé à bon escient que le montage et l’exploitation du réseau Polycom étaient prévus à l’article 20a alinéa 1 de l'ordonnance sur l'alerte, l'alarme et le réseau radio de sécurité du 18 août 2010 (OAIRRS; RS 520.12) et que les cantons étaient compétents en ce qui concerne les composants cantonaux du réseau radio de sécurité (art. 20a al. 3 OAIRRS ; cf. ég. art. 13 al. 3 de loi du 15 février 2013 sur la protection de la population et la gestion des situations particulières et extraordinaires [LPPEx ; RS/VS 501.1]). L’on ajoutera que la base légale de ce système a été récemment ancrée dans la loi fédérale sur la protection de la population et sur la protection civile du 20 décembre 2019 (LPPCi ; cf. son art. 18 et le</w:t>
      </w:r>
    </w:p>
    <w:p>
      <w:r>
        <w:t>- 11 - Message y relatif in : FF 2019 p. 522 et 541), texte dont la mise en vigueur a été fixée au 1er janvier 2021 (cf. les informations figurant sur la page. 3.6 L’antenne est ici prévue dans la zone de constructions et d’installations d’intérêt public D de la commune de AA _________, zone qui est réservée à des bâtiments et des aména- gements tels que bassin d’accumulation, installations hydroélectriques, conduites for- cées, etc. Les options architecturales ressortissent à la municipalité (art. 62 let. c RCZZ). Le Conseil d’Etat a jugé que l’antenne était conforme à cette zone. Cette appréciation n’est, à ce stade, plus remise en cause par les recourants, à juste titre (cf. art. 62 let. b RCCZ et arrêt du Tribunal fédéral 1C_294/2015 du 3 février 2016 consid. 2.2). De fait, la parcelle n° xx1 devant supporter l’antenne comporte justement un bassin artificiel de rétention des eaux d’environ 2400 m2, duquel part une conduite forcée, des bâtiments d’exploitation ainsi qu’une route d’accès. Elle est pour le reste recouverte de prés et d’arbres isolés. A l’ouest, à l’est et au sud de cette très grande parcelle (18 477 m2) que délimite, au nord, la route cantonale RC 54, s’étend une zone d’habitation faible densité C (art. 56 RCCZ). Celle-ci ne fait l’objet d’aucune règle spécifique en matière d’esthétique ou d’intégration. A l’est du bassin, la zone est quasi- ment vierge de constructions. Les habitations du quartier se situent essentiellement à l’ouest et au sud de la retenue, la plupart à l’amont de celle-ci. L’on relèvera encore que le PAZ de AA _________ délimite des zones de protection du paysage ainsi que des zones de protection de la nature d’importance cantonale, mais aucune d’entre elles ne touche au secteur considéré. Celui-ci ne se situe pas non plus dans une zone sensible au sens de l’article 68 RCCZ, qui englobe notamment « des terrains présentant un intérêt paysager pour leur beauté particulière ou comme site très exposé à la vue ». Personne n’affirme non plus que le secteur en cause figurerait dans un inventaire fédéral, régional ou même communal. Force est ainsi de constater que l’antenne litigieuse ne vient pas s’implanter dans un environnement présentant des qualités paysagères ou urbanistiques particulières qu’il s’agirait de sauvegarder ou de ne pas compromettre. Il va en revanche de soi qu’avec sa hauteur de près de 30 mètres, cette antenne, dont le diamètre d’environ 65 cm à sa base se réduit à quelque 30 cm à son extrémité, ne passera pas inaperçue. En ce sens, ce serait sans doute aller trop loin que d’affirmer, comme l’a fait le Conseil d’Etat, que cette installation ne « porte aucune atteinte à l’esthétique de son lieu d’implantation et du paysage environnant ». Il n’en demeure pas moins que l’antenne prend place dans un environnement bâti et paysager sans valeur particulière, ceci dans une zone de surcroît dévolue à la construction et d’installation d’intérêt public de type hydroélectrique. Cela étant, le gabarit nécessairement hors d’échelle de l’antenne ne peut</w:t>
      </w:r>
    </w:p>
    <w:p>
      <w:r>
        <w:t>- 12 - justifier un refus d’autorisation de construire fondé sur les clauses générales d’esthétique applicables en l’espèce. Admettre le contraire conduirait à interdire toute implantation d’antenne sur les coteaux et, partant, à compliquer voire compromettre la réalisation du réseau de sécurité Polycom. 3.7 Compte tenu de ce qui précède, c’est à juste titre que le Conseil d’Etat a censuré le refus d’autorisation de construire qu’a prononcé la commune de AA _________ sur la base d’une appréciation en matière d’esthétique et d’intégration, il est vrai, des plus sommairement motivées. Contrairement à ce qu’affirment les recourants, qui invoquent « une atteinte considérable à l’environnement paysager du quartier du CC _________ », sans davantage motiver cette opinion que ne l’a fait l’exécutif local, la décision attaquée ne consacre aucune violation de l’autonomie de la commune de AA _________ – qui n’a, au demeurant, ni recouru, ni même répondu au recours – ni n’empiète sur son pouvoir d’appréciation. 3.8 Par voie de corollaire, l’examen d’emplacements alternatifs ne s’impose pas. Il n’y a dès lors pas lieu d’étendre la discussion juridique sur cette question, que les recourants n’abordent d’ailleurs pas, à tout le moins d’une manière suffisamment motivée. Il appert de toute manière du dossier que de nombreuses variantes ont été prises en considération sans être retenues au final, le site du CC _________ s’avérant à même d’assurer une couverture optimale (cf. dossier communal p. 67, p. 119 à 139, p. 220, p. 262, p. 289, p. 414 à 424). A ce stade, l’unique question encore susceptible de se poser est celle de savoir si l’antenne selon la variante 1 se justifie techniquement ou si, comme le sou- tiennent les recourants, la variante 13A, prévue sur la même parcelle et prévoyant une antenne moins haute, suffit. Tel n’est pas le cas à la lecture des rapports, probants, figurant au dossier. Le 22 janvier 2018, l’OFPP a ainsi indiqué que « la variante 1 est celle qui offre sans équivoque la meilleure couverture radio extérieure pour la zone que la nouvelle cellule doit couvrir » et que c’est « également celle qui offrira la meilleure couverture pour l’intérieur des bâtiments dans la zone où la cellule sera dominante, c’est-à-dire GG _________, HH _________, mais aussi les habitations de AA _________ et dans la vallée de II _________ ». Sur ce point, l’OFPP a précisé que, lors d’engagements de la police ou d’autres intervenants (p. ex. ambulanciers), « c'est un problème pour les utilisateurs quand le réseau ne passe pas bien voire pas du tout dans les habitations ou surfaces commerciales lors de leurs interventions, ce qui est de plus en plus fréquent avec les nouveaux bâtiments ou bâtiments rénovés avec les normes Minergie et les types de fenêtres qui leur sont liées ». L’OFPP a insisté sur l’importance que revêtait une</w:t>
      </w:r>
    </w:p>
    <w:p>
      <w:r>
        <w:t>- 13 - couverture optimale. Or, selon l’office, « avec la variante 13, nous obtenons selon les simulations du bureau d'ingénieurs EE _________ mandaté par l'OFPP pour la planification radio Polycom une grande zone où nous n'aurions pas la cellule de AA _________ aussi forte et dominante (envers d'autres cellules voisines) qu'avec la variante 1 ». L’OFPP poursuit en expliquant que « [l]'expérience dans Polycom montre que pour éviter le risque des ping-pongs indésirables et dérangeants entre les cellules lors d'un engagement (réseau indisponible pendant 3 secondes à chaque changement de cellule, ce qui peut être critique et donc doit dans la mesure du possible être évité), il faut avoir une cellule dominante pour éviter qu'à chaque coin de bâtiments, différentes cellules soient les plus fortes ». L’OFPP relève à nouveau que, « pour la disponibilité des communications, respectivement la sécurité des intervenants, la variante 1 est largement à favoriser ». Dans leurs lettres des 29 janvier 2018, respectivement 30 janvier 2018, le planificateur EE _________ AG et le bureau FF _________ AG ont également préconisé la variante 1 qui, contrairement à la variante 13A, remplissait tous les critères de planification. Les recourants estiment que ces rapports ne sont pas crédibles puisque la police cantonale avait, précédemment, sollicité une autorisation de construire pour la variante 13A. Cette circonstance ne permet cependant pas de douter de la pertinence des prises de positions susmentionnées, notamment celle de l’OFPP, dont on ne voit pas quel intérêt il pourrait avoir à procéder à une comparaison biaisée des variantes. Il importe à cet égard de rappeler que, lors des discussions ayant précédé le dépôt du dossier relatif à la variante 13A, les limites de cette solution avaient déjà été relevées, y compris par le représentant de l’OFPP. Celui-ci avait parlé d’une variante 13 « acceptable », certes, mais dans le même temps précisé que celle-ci n’était « pas optimale », ainsi qu’il en ressort de l’extrait de procès-verbal de la séance de conciliation du 11 novembre 2013 reproduit en page 6 du mémoire. Sur cet arrière-plan, il convient de retenir que seule la variante 1 remplit tous les critères de planification. Cela étant, au vu des objectifs et des enjeux du réseau Polycom, la police cantonale peut légitimement prétendre à réaliser cette variante qui correspond à ses intentions premières, ce d’autant plus que les recourants s’étaient, par la suite, également opposés à la variante 13A. Finalement, l’on relèvera qu’au niveau de l’impact visuel, la variante 13A, techniquement imparfaite, n’offre, au demeurant, pas un avantage très clairement significatif par rapport à la variante 1. En effet, le mât de la variante 1 se situe en contrebas du bassin d’accu- mulation. Par rapport à la variante 13A, il est un peu plus éloigné encore de la plupart des habitations existantes. Son mât de 29 m 96 est, certes, assurément plus long que celui</w:t>
      </w:r>
    </w:p>
    <w:p>
      <w:r>
        <w:t>- 14 - de la variante 13A (13 m 93). Il se trouve toutefois implanté à une altitude inférieure (884.19 m.s.m., contre 892.85 m.s.m.). Ainsi que le relèvent les recourants eux-mêmes, l’écart d’altitude au sommet des mâts n’est donc que de 7 m 37. Cela étant, si la variante 13A est intrinsèquement moins préjudiciable, cet avantage ne saurait être surestimé non plus, comme il en ressort d’ailleurs du montage et des indications de gabarits réalisés par les recourants en page 5 de leur mémoire céans. Les recourants invoquent encore le fait que les antennes circulaires se situent, dans la variante 13A, sur le bâtiment 911. Cet argument n’est pas décisif puisque, dans la variante 1, ces antennes se trouvent non pas au sommet du mât, mais à une hauteur d’environ 11 mètres. 4.1 Dans un deuxième moyen, les recourants arguent d’une violation du principe de la bonne foi. Ils expliquent que la police cantonale leur avait garanti, lors de la séance de conciliation du 11 novembre 2013, que la variante 13A offrait une couverture radio acceptable. A les entendre, en mettant cette variante à l’enquête publique, puis en recourant contre le refus communal, la police cantonale leur aurait fait croire « qu’elle entendait véritablement mettre en œuvre ce projet, en lieu et place de la variante 1 beaucoup plus impactante pour leur environnement ». Ces démarches ne pouvaient s’interpréter, selon eux, que « comme la volonté d’abandonner la variante 1 et de réaliser la variante 13A ». 4.2 Le principe de la bonne foi est consacré par l'article 5 alinéa 3 de la Constitution fédérale du 18 avril 1999 (Cst. ; RS 101), qui dispose que les organes de l'Etat et les particuliers doivent agir de manière conforme aux règles de la bonne foi. De ce principe général découle notamment le droit du particulier à la protection de sa bonne foi dans ses relations avec l'Etat, consacré à l'article 9 Cst.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4.3 En l’occurrence, l’on ne saurait retenir que la police cantonale aurait pris l’engage- ment, envers les recourants, d’abandonner définitivement la variante 1 d’antenne. La promesse dont les recourants se prévalent à cet égard procède d‘une lecture subjective</w:t>
      </w:r>
    </w:p>
    <w:p>
      <w:r>
        <w:t>- 15 - et accommodante du dossier et de ses diverses péripéties. Leur argumentation est échafaudée sur la demande d’autorisation de construire l’antenne 13A. En soi, une telle démarche ne peut être assimilée à une promesse de ne plus déposer de dossier pour un autre projet similaire, ce que les recourants reconnaissent d’ailleurs eux-mêmes. Ces derniers l’affirment toutefois en faisant valoir que la variante 13A est techniquement suffisante, que la police cantonale l’a défendue en recourant auprès du Conseil d’Etat contre le refus communal d’autorisation et que cette alternative résulte d’une conciliation menée à la suite de leur opposition à la variante 1. Pris isolément ou même considérés conjointement, ces éléments ne constituent pas une assurance claire et sans réserve de la part de la police cantonale de renoncer irrévocablement à la variante 1. Les recourants ne peuvent se prévaloir d’aucun engagement dans ce sens et échouent ainsi à établir l’existence même d’une promesse. Par ailleurs, à les suivre, la disposition qu’ils auraient prise sur la base de cette prétendue assurance résiderait en leur renoncement à contester la décision du Conseil d’Etat « validant » la variante 13A. Cela étant, les recourants pourraient tout au plus prétendre à pouvoir recourir subséquemment contre ce prononcé, comme le fait justement remarquer la police cantonale. Le grief de violation du principe de la confiance s’avère donc mal fondé. 4.4 Dans la mesure où les recourants l’ont brièvement signalé sans toutefois développer de grief formel à cet égard (cf. p. 20 du mémoire), l’on relèvera, à toutes fins utiles, que la motivation de l’arrêt sur la violation alléguée du principe de la bonne foi aura remédié au silence, en lui-même critiquable, de la décision attaquée (RVJ 2013 p. 26 consid. 4c et les références). Il s’agit, en effet, d’une question de droit examinée par le Tribunal avec un pouvoir d’examen aussi étendu que le Conseil d’Etat. De plus, un renvoi de la cause à l’autorité précédente constituerait, dans le cas d’espèce, une vaine formalité et aboutirait à un allongement inutile de la procédure (ATF 133 I 201 consid. 2.2). 5.1 En dernier lieu, les recourants dénoncent l’illégalité des nuisances sonores induites par le projet d’antenne. Selon eux, le préavis positif émis le 10 janvier 2019 par le SEN, auquel s’était référé le Conseil d’Etat, se trouverait contredit par « les résultats de l’exploitation de l’antenne provisoire ». Ils expliquent à ce sujet que le bruit induit par l’antenne provisoire a été qualifié de « très incommodant » par le résident qui en est le plus proche et que l’installation « semble bien dépasser les valeurs limites de planification [VP] du DS II ». 5.2 L’appréciation portée par le SEN est un avis de spécialistes qui ne peut, à ce titre, être remis en cause sans motifs sérieux et objectifs (ATF 126 II 480 consid. 5c ; ACDP A1 16 105 du 20 janvier 2016 consid 3.1 ; Pierre Moor/Etienne Poltier, op. cit., p. 280).</w:t>
      </w:r>
    </w:p>
    <w:p>
      <w:r>
        <w:t>- 16 - Or, les griefs invoqués à l’endroit de cette évaluation s’épuisent en de pures considéra- tions subjectives. Les recourants n’ont aucunement entrepris d’étayer leurs allégations d’un dépassement régulier des valeurs applicables, ainsi qu’ils l’avaient pourtant annoncé dans leur mémoire. Purement appellatoire (RVJ 1994 p. 33 consid. 5), le grief ne saurait en conséquence amener le Tribunal à se départir de l’appréciation scientifique du SEN. Au demeurant, le rapport du 31 août 2020 établi par ce service à la suite de mesurages sur place vient définitivement infirmer les allégations des recourants. Le SEN a en effet constaté, sans que son analyse n’ait été contestée par les recourants, ni même suscité une quelque remarque de leur part, que l’antenne mobile Polycom respectait les VP avec plus de 2.5 dB(A) pour les récepteurs considérés. Le SEN a en outre signalé que la réalisation en dur pour une antenne fixe permettrait probablement de réduire les immissions de bruit à un niveau inaudible pour les riverains (cf. p. 1 et 3 du préavis). Partant, le moyen pris d’une violation des normes applicables en matière de protection contre le bruit doit être écarté. 6.1 Les considérants qui précèdent conduisent au rejet du recours (art. 80 al. 1 let. e et 60 al. 1 LPJA). 6.2 Succombant, les recourants supporteront, solidairement entre eux, un émolument de justice arrêté à 1500 fr. (débours inclus) au vu notamment des principes de la couverture des frais et de l’équivalence des prestations (art. 88 al. 2 et 89 al. 1 LPJA ; art. 3 al. 3, 11, 13 al. 1 et 25 de la loi du 11 février 2009 sur le tarif des frais et dépens devant les autorités judiciaires ou administratives - LTar ; RS/VS 173.8). Ils n’ont pas droit à des dépens et agissent, du reste, sans être représentés par un avocat (art. 91 al. 1 LPJA a contrario). La police cantonale, assimilable à une autorité, n’a pas droit à des dépens conformément à la règle prévue à l’article 91 alinéa 3 LPJA (RVJ 1992 p. 75). Elle n’a, de surcroît, pas démontré l’existence de conditions particulières permettant une dérogation à cette disposition légale (ACDP A1 20 25 du 6 juillet 2020 consid. 7.4).</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